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bookmarkStart w:id="0" w:name="_GoBack"/>
            <w:bookmarkEnd w:id="0"/>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409213FC">
                      <wp:simplePos x="0" y="0"/>
                      <wp:positionH relativeFrom="column">
                        <wp:posOffset>49530</wp:posOffset>
                      </wp:positionH>
                      <wp:positionV relativeFrom="paragraph">
                        <wp:posOffset>50165</wp:posOffset>
                      </wp:positionV>
                      <wp:extent cx="2828925" cy="241935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419350"/>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14:paraId="1F95BC29" w14:textId="77777777">
                                    <w:trPr>
                                      <w:cantSplit/>
                                    </w:trPr>
                                    <w:tc>
                                      <w:tcPr>
                                        <w:tcW w:w="4417" w:type="dxa"/>
                                      </w:tcPr>
                                      <w:p w14:paraId="4BDAAFC3" w14:textId="77777777"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Fax: 22680-22.690</w:t>
                                        </w:r>
                                      </w:p>
                                    </w:tc>
                                  </w:tr>
                                  <w:tr w:rsidR="00A3725D" w:rsidRPr="00C011E0" w14:paraId="5AFB2FB0" w14:textId="77777777">
                                    <w:trPr>
                                      <w:cantSplit/>
                                    </w:trPr>
                                    <w:tc>
                                      <w:tcPr>
                                        <w:tcW w:w="4417" w:type="dxa"/>
                                      </w:tcPr>
                                      <w:p w14:paraId="4E602F16" w14:textId="3AE19EBD"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F77D51" w:rsidRPr="00F77D51">
                                          <w:rPr>
                                            <w:rStyle w:val="2Char"/>
                                            <w:rFonts w:asciiTheme="minorHAnsi" w:hAnsiTheme="minorHAnsi" w:cstheme="minorHAnsi"/>
                                            <w:sz w:val="18"/>
                                            <w:szCs w:val="18"/>
                                            <w:lang w:val="en-US"/>
                                          </w:rPr>
                                          <w:t>demsymbaliart.thesp@gmail.com</w:t>
                                        </w: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anchor>
                  </w:drawing>
                </mc:Choice>
                <mc:Fallback>
                  <w:pict>
                    <v:rect w14:anchorId="40560F34" id="Ορθογώνιο 2" o:spid="_x0000_s1026" style="position:absolute;margin-left:3.9pt;margin-top:3.95pt;width:222.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5XGQIAAPADAAAOAAAAZHJzL2Uyb0RvYy54bWysU0GO0zAU3SNxB8t7mjYw0ImajkYdFSEN&#10;MNLAARzHaSwSf/PtNhl2XIArzCHYwALNDTJX4tvplAI7hBeWv/39/N7734uzvm3YTqHTYHI+m0w5&#10;U0ZCqc0m5+/frZ/MOXNemFI0YFTOb5TjZ8vHjxadzVQKNTSlQkYgxmWdzXntvc2SxMlatcJNwCpD&#10;hxVgKzyFuElKFB2ht02STqfPkw6wtAhSOUe7F+MhX0b8qlLSv60qpzxrck7cfJwxzkWYk+VCZBsU&#10;ttZyT0P8A4tWaEOPHqAuhBdsi/ovqFZLBAeVn0hoE6gqLVXUQGpm0z/UXNfCqqiFzHH2YJP7f7Dy&#10;ze4KmS5znnJmREslGm7vPw/fhrvh6/2X4cfwfbhjafCpsy6j9Gt7hUGps5cgPzhmYFULs1HniNDV&#10;SpTEbhbyk98uhMDRVVZ0r6GkZ8TWQ7Ssr7ANgGQG62Nlbg6VUb1nkjbTeTo/TU84k3SWPpudPj2J&#10;tUtE9nDdovMvFbQsLHKOVPoIL3aXzgc6IntIifSh0eVaN00McFOsGmQ7QW2yjiMqIJXHaY0JyQbC&#10;tREx7ESdQdpoke+Lfu9WAeUNKUYY246+CS1qwE+cddRyOXcftwIVZ80rE1xLX0xDjx4HeBwUx4Ew&#10;kqBy7jkblys/9vXWot7U9NIs6jdwTk5XOnoQqjCy2vOmtorW7L9A6NvjOGb9+qjLnwAAAP//AwBQ&#10;SwMEFAAGAAgAAAAhAE/y327dAAAABwEAAA8AAABkcnMvZG93bnJldi54bWxMzsFOg0AQBuC7ie+w&#10;GRNvdlEUKbI0xqSNF2tavXibwghEdpawWwo+veNJT5PJP/nny1eT7dRIg28dG7heRKCIS1e1XBt4&#10;f1tfpaB8QK6wc0wGZvKwKs7Pcswqd+IdjftQKylhn6GBJoQ+09qXDVn0C9cTS/bpBotB1qHW1YAn&#10;KbedvomiRFtsWT402NNTQ+XX/mgNfPB2s/Mv8ZisN/Razui+5+TZmMuL6fEBVKAp/B3DL1/oUIjp&#10;4I5cedUZuBd4kLEEJentXRyDOhiI03QJusj1f3/xAwAA//8DAFBLAQItABQABgAIAAAAIQC2gziS&#10;/gAAAOEBAAATAAAAAAAAAAAAAAAAAAAAAABbQ29udGVudF9UeXBlc10ueG1sUEsBAi0AFAAGAAgA&#10;AAAhADj9If/WAAAAlAEAAAsAAAAAAAAAAAAAAAAALwEAAF9yZWxzLy5yZWxzUEsBAi0AFAAGAAgA&#10;AAAhANiTHlcZAgAA8AMAAA4AAAAAAAAAAAAAAAAALgIAAGRycy9lMm9Eb2MueG1sUEsBAi0AFAAG&#10;AAgAAAAhAE/y327dAAAABwEAAA8AAAAAAAAAAAAAAAAAcwQAAGRycy9kb3ducmV2LnhtbFBLBQYA&#10;AAAABAAEAPMAAAB9BQ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2"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14:paraId="1F95BC29" w14:textId="77777777">
                              <w:trPr>
                                <w:cantSplit/>
                              </w:trPr>
                              <w:tc>
                                <w:tcPr>
                                  <w:tcW w:w="4417" w:type="dxa"/>
                                </w:tcPr>
                                <w:p w14:paraId="4BDAAFC3" w14:textId="77777777"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Fax: 22680-22.690</w:t>
                                  </w:r>
                                </w:p>
                              </w:tc>
                            </w:tr>
                            <w:tr w:rsidR="00A3725D" w:rsidRPr="00C011E0" w14:paraId="5AFB2FB0" w14:textId="77777777">
                              <w:trPr>
                                <w:cantSplit/>
                              </w:trPr>
                              <w:tc>
                                <w:tcPr>
                                  <w:tcW w:w="4417" w:type="dxa"/>
                                </w:tcPr>
                                <w:p w14:paraId="4E602F16" w14:textId="3AE19EBD"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F77D51" w:rsidRPr="00F77D51">
                                    <w:rPr>
                                      <w:rStyle w:val="2Char"/>
                                      <w:rFonts w:asciiTheme="minorHAnsi" w:hAnsiTheme="minorHAnsi" w:cstheme="minorHAnsi"/>
                                      <w:sz w:val="18"/>
                                      <w:szCs w:val="18"/>
                                      <w:lang w:val="en-US"/>
                                    </w:rPr>
                                    <w:t>demsymbaliart.thesp@gmail.com</w:t>
                                  </w:r>
                                </w:p>
                              </w:tc>
                            </w:tr>
                            <w:bookmarkEnd w:id="2"/>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775623390"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25/4/2024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3613</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511D156F" w14:textId="77777777" w:rsidR="00A3725D" w:rsidRPr="00007B41" w:rsidRDefault="00A3725D">
      <w:pPr>
        <w:widowControl w:val="0"/>
        <w:tabs>
          <w:tab w:val="left" w:pos="4530"/>
        </w:tabs>
        <w:autoSpaceDE w:val="0"/>
        <w:autoSpaceDN w:val="0"/>
        <w:adjustRightInd w:val="0"/>
        <w:spacing w:after="0"/>
        <w:ind w:left="6480"/>
        <w:rPr>
          <w:rFonts w:ascii="Calibri" w:hAnsi="Calibri" w:cs="Calibri"/>
          <w:b/>
          <w:bCs/>
          <w:color w:val="000000"/>
        </w:rPr>
      </w:pPr>
    </w:p>
    <w:p w14:paraId="63CC2B8C"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79BCE5AE"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EC43713"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ΣΤΑΘΗΣ ΄Αγγελος</w:t>
      </w:r>
    </w:p>
    <w:p w14:paraId="2881BF47"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ΖΑΓΚΑΣ Πέτρος</w:t>
      </w:r>
    </w:p>
    <w:p w14:paraId="2AAF8D1A" w14:textId="77777777" w:rsidR="00A3725D" w:rsidRDefault="00A3725D">
      <w:pPr>
        <w:widowControl w:val="0"/>
        <w:tabs>
          <w:tab w:val="left" w:pos="4530"/>
        </w:tabs>
        <w:autoSpaceDE w:val="0"/>
        <w:autoSpaceDN w:val="0"/>
        <w:adjustRightInd w:val="0"/>
        <w:spacing w:after="0"/>
        <w:ind w:left="6480"/>
        <w:rPr>
          <w:rFonts w:cstheme="minorHAnsi"/>
          <w:b/>
          <w:bCs/>
          <w:color w:val="000000"/>
          <w:sz w:val="21"/>
          <w:szCs w:val="21"/>
        </w:rPr>
      </w:pPr>
    </w:p>
    <w:p w14:paraId="2BC4DFDC"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7F847679" w:rsidR="00A3725D" w:rsidRDefault="001A21F4" w:rsidP="0092705A">
      <w:pPr>
        <w:pStyle w:val="Web"/>
        <w:shd w:val="clear" w:color="auto" w:fill="FFFFFF"/>
        <w:spacing w:before="0" w:beforeAutospacing="0" w:after="200" w:afterAutospacing="0" w:line="360" w:lineRule="auto"/>
        <w:jc w:val="both"/>
        <w:rPr>
          <w:rStyle w:val="a3"/>
          <w:rFonts w:ascii="Calibri" w:hAnsi="Calibri" w:cs="Calibri"/>
          <w:iCs/>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11</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Τρίτη 30 Απριλίου 2024 και ώρα 14:00</w:t>
      </w:r>
      <w:r>
        <w:rPr>
          <w:rFonts w:ascii="Calibri" w:hAnsi="Calibri" w:cs="Calibri"/>
          <w:sz w:val="22"/>
          <w:szCs w:val="22"/>
        </w:rPr>
        <w:t xml:space="preserve">,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r w:rsidR="00C011E0" w14:paraId="560EBAE0" w14:textId="77777777">
        <w:tc>
          <w:tcPr>
            <w:tcW w:w="617" w:type="dxa"/>
            <w:shd w:val="clear" w:color="auto" w:fill="D9E2F3"/>
          </w:tcPr>
          <w:p w14:paraId="33E76BE2" w14:textId="77777777" w:rsidR="00C011E0" w:rsidRDefault="00C011E0">
            <w:pPr>
              <w:pStyle w:val="Default"/>
              <w:spacing w:line="360" w:lineRule="auto"/>
              <w:rPr>
                <w:rFonts w:ascii="Calibri" w:hAnsi="Calibri" w:cs="Calibri"/>
                <w:b/>
                <w:bCs/>
                <w:color w:val="002060"/>
                <w:sz w:val="22"/>
                <w:szCs w:val="22"/>
              </w:rPr>
            </w:pPr>
          </w:p>
        </w:tc>
        <w:tc>
          <w:tcPr>
            <w:tcW w:w="9244" w:type="dxa"/>
            <w:shd w:val="clear" w:color="auto" w:fill="D9E2F3"/>
          </w:tcPr>
          <w:p w14:paraId="50227C7E" w14:textId="77777777" w:rsidR="00C011E0" w:rsidRDefault="00C011E0">
            <w:pPr>
              <w:pStyle w:val="Default"/>
              <w:spacing w:line="360" w:lineRule="auto"/>
              <w:rPr>
                <w:rFonts w:ascii="Calibri" w:hAnsi="Calibri" w:cs="Calibri"/>
                <w:b/>
                <w:bCs/>
                <w:color w:val="002060"/>
                <w:sz w:val="22"/>
                <w:szCs w:val="22"/>
              </w:rPr>
            </w:pPr>
          </w:p>
        </w:tc>
      </w:tr>
    </w:tbl>
    <w:p w14:paraId="7AF363E2" w14:textId="754CAD48" w:rsidR="005B16AE" w:rsidRPr="00C011E0" w:rsidRDefault="00BA5D7B" w:rsidP="00C011E0">
      <w:pPr>
        <w:pStyle w:val="a9"/>
        <w:numPr>
          <w:ilvl w:val="0"/>
          <w:numId w:val="4"/>
        </w:numPr>
        <w:spacing w:line="360" w:lineRule="auto"/>
        <w:jc w:val="both"/>
        <w:rPr>
          <w:rFonts w:asciiTheme="minorHAnsi" w:hAnsiTheme="minorHAnsi" w:cstheme="minorHAnsi"/>
          <w:iCs/>
          <w:sz w:val="22"/>
          <w:szCs w:val="22"/>
        </w:rPr>
      </w:pPr>
      <w:r w:rsidRPr="00C011E0">
        <w:rPr>
          <w:rFonts w:asciiTheme="minorHAnsi" w:hAnsiTheme="minorHAnsi" w:cstheme="minorHAnsi"/>
          <w:iCs/>
          <w:sz w:val="22"/>
          <w:szCs w:val="22"/>
        </w:rPr>
        <w:lastRenderedPageBreak/>
        <w:t>Περί έγκρισης πρακτικού ΙΙ ελέγχου δικαιολογητικών συμμετοχής – οικονομικής προσφοράς – αιτιολόγηση προσφοράς και ανάδειξης προσωρινού αναδόχου της ανοικτής διαδικασίας για τη σύναψη Ηλεκτρονικών Δημόσιων Συμβάσεων έργου κάτω των ορίων του Ν. 4412/2016 με κριτήριο ανάθεσης την πλέον συμφέρουσα από οικονομική άποψη προσφορά με βάση την τιμή μέσω του Εθνικού Συστήματος Ηλεκτρονικών Δημόσιων Συμβάσεων (ΕΣΗΔΗΣ) για την επιλογή αναδόχου για την κατασκευή έργου «Ανάπλαση κεντρικής πλατείας ΤΚ Σωληναρίου &amp;amp; ΤΚ Υψηλάντη του Δήμου Αλιάρτου - Θεσπιέων» του Δήμου Αλίαρτου - Θεσπιέων προϋπολογισμού 275.875,77 ευρώ συμπ Φ.Π.Α. 24%».(Εισηγητής Κος Βαρουξής Χρήστος)</w:t>
      </w:r>
    </w:p>
    <w:p w14:paraId="1493C570" w14:textId="77777777" w:rsidR="005B16AE" w:rsidRPr="00C011E0" w:rsidRDefault="00BA5D7B" w:rsidP="00C011E0">
      <w:pPr>
        <w:pStyle w:val="a9"/>
        <w:numPr>
          <w:ilvl w:val="0"/>
          <w:numId w:val="4"/>
        </w:numPr>
        <w:spacing w:line="360" w:lineRule="auto"/>
        <w:jc w:val="both"/>
        <w:rPr>
          <w:rFonts w:asciiTheme="minorHAnsi" w:hAnsiTheme="minorHAnsi" w:cstheme="minorHAnsi"/>
          <w:iCs/>
          <w:sz w:val="22"/>
          <w:szCs w:val="22"/>
        </w:rPr>
      </w:pPr>
      <w:r w:rsidRPr="00C011E0">
        <w:rPr>
          <w:rFonts w:asciiTheme="minorHAnsi" w:hAnsiTheme="minorHAnsi" w:cstheme="minorHAnsi"/>
          <w:iCs/>
          <w:sz w:val="22"/>
          <w:szCs w:val="22"/>
        </w:rPr>
        <w:t>Περί λήψης απόφασης για την συγκρότηση επιτροπής διενέργειας – αξιολόγησης διαδικασιών σύναψης δημόσιων συμβάσεων Προμηθειών με Ανοικτή Διαδικασία μέσω ΕΣΗΔΗΣ για την προμήθεια με τίτλο: «Προμήθεια καυσίμων και λιπαντικών για την κάλυψη των αναγκών του Δήμου Αλιάρτου – Θεσπιέων»» με Εκτιμώμενη αξία σύμβασης συμπεριλαμβανομένου ΦΠΑ: 211.863,30 € ευρώ.(Εισηγητής Κος Βαρουξής Χρήστος)</w:t>
      </w:r>
    </w:p>
    <w:p w14:paraId="040A0779" w14:textId="77777777" w:rsidR="005B16AE" w:rsidRPr="00C011E0" w:rsidRDefault="00BA5D7B" w:rsidP="00C011E0">
      <w:pPr>
        <w:pStyle w:val="a9"/>
        <w:numPr>
          <w:ilvl w:val="0"/>
          <w:numId w:val="4"/>
        </w:numPr>
        <w:spacing w:line="360" w:lineRule="auto"/>
        <w:jc w:val="both"/>
        <w:rPr>
          <w:rFonts w:asciiTheme="minorHAnsi" w:hAnsiTheme="minorHAnsi" w:cstheme="minorHAnsi"/>
          <w:iCs/>
          <w:sz w:val="22"/>
          <w:szCs w:val="22"/>
        </w:rPr>
      </w:pPr>
      <w:r w:rsidRPr="00C011E0">
        <w:rPr>
          <w:rFonts w:asciiTheme="minorHAnsi" w:hAnsiTheme="minorHAnsi" w:cstheme="minorHAnsi"/>
          <w:iCs/>
          <w:sz w:val="22"/>
          <w:szCs w:val="22"/>
        </w:rPr>
        <w:t>Περί της έγκρισης επί του 1ου Ανακεφαλαιωτικού Πίνακα Εργασιών του έργου: «Ανακατασκευή υφιστάμενων πεζοδρομίων δημοτικής κοινότητας Αλιάρτου του Δήμου Αλιάρτου – Θεσπιέων», της πράξης με τίτλο: «ΑΝΑΠΛΑΣΗ ΚΥΡΙΟΥ ΟΔΙΚΟΥ ΑΞΟΝΑ ΤΗΣ ΠΟΛΗΣ ΤΗΣ ΑΛΙΑΡΤΟΥ» με Κωδικό ΟΠΣ: 6007004 στο Πρόγραμμα «ΣΤΕΡΕΑ ΕΛΛΑΔΑ 2021-2027» συνολικού προϋπολογισμού 1.067.690,39 € (συμπ. 24% ΦΠΑ), στη ΣΑ: ΕΠ0567 και Κωδιό Ενάριθμου: 2024ΕΠ05670010».(Εισηγητής Κος Βαρουξής Χρήστος)</w:t>
      </w:r>
    </w:p>
    <w:p w14:paraId="57587533" w14:textId="664BC485" w:rsidR="00E15CEB" w:rsidRPr="00C908BC" w:rsidRDefault="00E15CEB" w:rsidP="00E15CEB">
      <w:pPr>
        <w:pStyle w:val="a9"/>
        <w:numPr>
          <w:ilvl w:val="0"/>
          <w:numId w:val="2"/>
        </w:numPr>
        <w:spacing w:after="160" w:line="360" w:lineRule="auto"/>
        <w:ind w:left="284" w:firstLine="256"/>
        <w:rPr>
          <w:rStyle w:val="a3"/>
          <w:rFonts w:ascii="Calibri" w:hAnsi="Calibri" w:cs="Calibri"/>
          <w:iCs/>
          <w:sz w:val="22"/>
          <w:szCs w:val="22"/>
        </w:rPr>
      </w:pPr>
    </w:p>
    <w:p w14:paraId="00545CB6" w14:textId="24F2DB14" w:rsidR="00A3725D" w:rsidRPr="00C908BC" w:rsidRDefault="00A3725D" w:rsidP="00C908BC">
      <w:pPr>
        <w:pStyle w:val="a9"/>
        <w:numPr>
          <w:ilvl w:val="0"/>
          <w:numId w:val="2"/>
        </w:numPr>
        <w:spacing w:after="160" w:line="360" w:lineRule="auto"/>
        <w:ind w:left="284" w:firstLine="256"/>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lastRenderedPageBreak/>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11D722C0" w14:textId="7E42AE60" w:rsidR="00A3725D" w:rsidRPr="00C011E0" w:rsidRDefault="001A21F4">
      <w:pPr>
        <w:pStyle w:val="21"/>
        <w:widowControl w:val="0"/>
        <w:autoSpaceDE w:val="0"/>
        <w:autoSpaceDN w:val="0"/>
        <w:adjustRightInd w:val="0"/>
        <w:rPr>
          <w:rFonts w:ascii="Calibri" w:hAnsi="Calibri" w:cs="Calibri"/>
          <w:bCs/>
          <w:i/>
          <w:color w:val="002060"/>
          <w:lang w:val="el-GR"/>
        </w:rPr>
      </w:pPr>
      <w:r>
        <w:rPr>
          <w:lang w:val="el-GR"/>
        </w:rPr>
        <w:t xml:space="preserve">                                                   </w:t>
      </w:r>
      <w:r w:rsidRPr="00C011E0">
        <w:rPr>
          <w:lang w:val="el-GR"/>
        </w:rPr>
        <w:t xml:space="preserve">  </w:t>
      </w:r>
    </w:p>
    <w:p w14:paraId="055CDB19" w14:textId="77777777" w:rsidR="00A3725D" w:rsidRDefault="00A3725D">
      <w:pPr>
        <w:widowControl w:val="0"/>
        <w:tabs>
          <w:tab w:val="left" w:pos="15"/>
        </w:tabs>
        <w:autoSpaceDE w:val="0"/>
        <w:autoSpaceDN w:val="0"/>
        <w:adjustRightInd w:val="0"/>
        <w:spacing w:after="0" w:line="240" w:lineRule="auto"/>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7F1C5" w14:textId="77777777" w:rsidR="003969E7" w:rsidRDefault="003969E7">
      <w:pPr>
        <w:spacing w:line="240" w:lineRule="auto"/>
      </w:pPr>
      <w:r>
        <w:separator/>
      </w:r>
    </w:p>
  </w:endnote>
  <w:endnote w:type="continuationSeparator" w:id="0">
    <w:p w14:paraId="71B1B14E" w14:textId="77777777" w:rsidR="003969E7" w:rsidRDefault="00396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70A9" w14:textId="5101506B"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B250DC">
          <w:rPr>
            <w:noProof/>
          </w:rPr>
          <w:t>1</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E2928" w14:textId="77777777" w:rsidR="003969E7" w:rsidRDefault="003969E7">
      <w:pPr>
        <w:spacing w:after="0"/>
      </w:pPr>
      <w:r>
        <w:separator/>
      </w:r>
    </w:p>
  </w:footnote>
  <w:footnote w:type="continuationSeparator" w:id="0">
    <w:p w14:paraId="336BCAC9" w14:textId="77777777" w:rsidR="003969E7" w:rsidRDefault="003969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 w15:restartNumberingAfterBreak="0">
    <w:nsid w:val="394C719A"/>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2"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4"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D771E"/>
    <w:rsid w:val="002E79E5"/>
    <w:rsid w:val="00321EB0"/>
    <w:rsid w:val="00322207"/>
    <w:rsid w:val="003259B7"/>
    <w:rsid w:val="0032620D"/>
    <w:rsid w:val="00342245"/>
    <w:rsid w:val="003546DF"/>
    <w:rsid w:val="00355049"/>
    <w:rsid w:val="00355BE5"/>
    <w:rsid w:val="003636A3"/>
    <w:rsid w:val="0036482F"/>
    <w:rsid w:val="00366A64"/>
    <w:rsid w:val="0038625A"/>
    <w:rsid w:val="00386F54"/>
    <w:rsid w:val="003969E7"/>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535C"/>
    <w:rsid w:val="007E2126"/>
    <w:rsid w:val="007E4C4C"/>
    <w:rsid w:val="007F20ED"/>
    <w:rsid w:val="007F341D"/>
    <w:rsid w:val="0080167D"/>
    <w:rsid w:val="0080286D"/>
    <w:rsid w:val="008061AD"/>
    <w:rsid w:val="008275FB"/>
    <w:rsid w:val="008418A5"/>
    <w:rsid w:val="00843082"/>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A27BD7"/>
    <w:rsid w:val="00A3725D"/>
    <w:rsid w:val="00A403AB"/>
    <w:rsid w:val="00A404C6"/>
    <w:rsid w:val="00A42503"/>
    <w:rsid w:val="00A42BED"/>
    <w:rsid w:val="00A42E12"/>
    <w:rsid w:val="00A4464E"/>
    <w:rsid w:val="00A542DC"/>
    <w:rsid w:val="00A61CC9"/>
    <w:rsid w:val="00A63727"/>
    <w:rsid w:val="00A6462C"/>
    <w:rsid w:val="00A64D9F"/>
    <w:rsid w:val="00A65B13"/>
    <w:rsid w:val="00A70491"/>
    <w:rsid w:val="00A7635D"/>
    <w:rsid w:val="00A87230"/>
    <w:rsid w:val="00A91A40"/>
    <w:rsid w:val="00AA25CD"/>
    <w:rsid w:val="00AA4449"/>
    <w:rsid w:val="00AB4F19"/>
    <w:rsid w:val="00AB6B3E"/>
    <w:rsid w:val="00AB758F"/>
    <w:rsid w:val="00AD7D3F"/>
    <w:rsid w:val="00AF049D"/>
    <w:rsid w:val="00AF6D39"/>
    <w:rsid w:val="00B0728A"/>
    <w:rsid w:val="00B16CE1"/>
    <w:rsid w:val="00B21159"/>
    <w:rsid w:val="00B237CC"/>
    <w:rsid w:val="00B23838"/>
    <w:rsid w:val="00B250DC"/>
    <w:rsid w:val="00B43391"/>
    <w:rsid w:val="00B70CF6"/>
    <w:rsid w:val="00B77EDB"/>
    <w:rsid w:val="00B86C0F"/>
    <w:rsid w:val="00BA59ED"/>
    <w:rsid w:val="00BA5D7B"/>
    <w:rsid w:val="00BB5757"/>
    <w:rsid w:val="00BC2338"/>
    <w:rsid w:val="00BD2219"/>
    <w:rsid w:val="00BD2304"/>
    <w:rsid w:val="00C011E0"/>
    <w:rsid w:val="00C04E34"/>
    <w:rsid w:val="00C15B5C"/>
    <w:rsid w:val="00C27B69"/>
    <w:rsid w:val="00C326EC"/>
    <w:rsid w:val="00C54094"/>
    <w:rsid w:val="00C611E5"/>
    <w:rsid w:val="00C77E14"/>
    <w:rsid w:val="00C85529"/>
    <w:rsid w:val="00C908BC"/>
    <w:rsid w:val="00C934E9"/>
    <w:rsid w:val="00C94A3C"/>
    <w:rsid w:val="00CC06C3"/>
    <w:rsid w:val="00CD68BA"/>
    <w:rsid w:val="00CE1436"/>
    <w:rsid w:val="00CE3E92"/>
    <w:rsid w:val="00CE67FA"/>
    <w:rsid w:val="00D244E3"/>
    <w:rsid w:val="00D31AB1"/>
    <w:rsid w:val="00D348C7"/>
    <w:rsid w:val="00D35D6C"/>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45B9E650-E4D8-433B-BD71-81F54415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09038-2773-4A12-BBE2-FC5822CD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1938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Mp</dc:creator>
  <cp:lastModifiedBy>Aggelos AP. Papadopoulos</cp:lastModifiedBy>
  <cp:revision>2</cp:revision>
  <cp:lastPrinted>2024-04-25T12:11:00Z</cp:lastPrinted>
  <dcterms:created xsi:type="dcterms:W3CDTF">2024-04-26T04:57:00Z</dcterms:created>
  <dcterms:modified xsi:type="dcterms:W3CDTF">2024-04-26T04:57:00Z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