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582F49A" w:rsidR="00A3725D" w:rsidRPr="00F77D51" w:rsidRDefault="001A21F4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</w:t>
                                        </w:r>
                                        <w:proofErr w:type="spellEnd"/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6E7DEF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576FA0E" w:rsidR="00A3725D" w:rsidRPr="00F77D51" w:rsidRDefault="007D2145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AB4CC8" w:rsidRPr="00D77D0E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Pr="00D77D0E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</w:t>
                                        </w:r>
                                        <w:r w:rsidR="00AB4CC8" w:rsidRPr="00D77D0E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aliartos.gov.gr</w:t>
                                        </w:r>
                                      </w:p>
                                    </w:tc>
                                  </w:tr>
                                  <w:tr w:rsidR="00A3725D" w:rsidRPr="006E7DEF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582F49A" w:rsidR="00A3725D" w:rsidRPr="00F77D51" w:rsidRDefault="001A21F4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</w:t>
                                  </w:r>
                                  <w:proofErr w:type="spellEnd"/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6E7DEF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576FA0E" w:rsidR="00A3725D" w:rsidRPr="00F77D51" w:rsidRDefault="007D2145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AB4CC8" w:rsidRPr="00D77D0E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Pr="00D77D0E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@</w:t>
                                  </w:r>
                                  <w:r w:rsidR="00AB4CC8" w:rsidRPr="00D77D0E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</w:tc>
                            </w:tr>
                            <w:tr w:rsidR="00A3725D" w:rsidRPr="006E7DEF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43295253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18/6/2026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5581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14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Δευτέρα 22 Ιουνίου 2026 και ώρα 13:00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6D070B1A" w14:textId="77777777" w:rsidR="001729DD" w:rsidRDefault="001729DD" w:rsidP="001729DD">
      <w:pPr>
        <w:spacing w:line="360" w:lineRule="auto"/>
        <w:jc w:val="both"/>
        <w:rPr>
          <w:rFonts w:cstheme="minorHAnsi"/>
          <w:iCs/>
        </w:rPr>
      </w:pPr>
    </w:p>
    <w:p w14:paraId="7AF363E2" w14:textId="5DAE5BE0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6ης Αναμόρφωσης Προϋπολογισμού οικ. έτους 2026(Εισηγητής</w:t>
      </w:r>
      <w:r w:rsidR="00313569">
        <w:rPr>
          <w:rFonts w:cstheme="minorHAnsi"/>
          <w:iCs/>
        </w:rPr>
        <w:t xml:space="preserve">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7D2585B8" w14:textId="0C699053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2.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 xml:space="preserve">Περί της έγκρισης της Έκθεσης Πεπραγμένων Δημοτικής Επιτροπής Δήμου Αλιάρτου - Θεσπιέων Έτους 2025, σύμφωνα με την παρ. 3 του άρθρου 40 του Ν. 4735/2020 (ΦΕΚ 197/Α΄/12.10.2020), όπως έχει αντικατασταθεί και ισχύει έως </w:t>
      </w:r>
      <w:r w:rsidR="00313569">
        <w:rPr>
          <w:rFonts w:cstheme="minorHAnsi"/>
          <w:iCs/>
        </w:rPr>
        <w:t>σήμερα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2387E579" w14:textId="70F18362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lastRenderedPageBreak/>
        <w:t>3.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χορήγησης οικονομικής ενίσχυσης σε οικογένειες που διαμένουν μόνιμα στο Δήμου Αλιάρτου – Θεσπιέων για το έτο</w:t>
      </w:r>
      <w:r w:rsidR="00313569">
        <w:rPr>
          <w:rFonts w:cstheme="minorHAnsi"/>
          <w:iCs/>
        </w:rPr>
        <w:t>ς 2026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2F7B0FBA" w14:textId="46F8B0B0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4.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αποδοχής τροποποίηση της Πράξης «Κέντρο Ημερήσιας Φροντίδας Ηλικιωμένων Δήμου Αλιάρτου - Θεσπιέων» με Κωδικό ΟΠΣ 6019249 στο Πρόγραμμα «ΣΤΕΡΕΑ ΕΛΛΑΔΑ 2021-</w:t>
      </w:r>
      <w:r w:rsidR="00313569">
        <w:rPr>
          <w:rFonts w:cstheme="minorHAnsi"/>
          <w:iCs/>
        </w:rPr>
        <w:t>2027»''(Εισηγητής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1F1711F6" w14:textId="6F48FAFF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5.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έγκρισης πρακτικού πλειοδοτικής, φανερής και προφορικής δημοπρασίας με κριτήριο κατακύρωσης την υψηλότερη από οικονομικής άποψης προσφορά, βάσει τιμής, για την εκποίηση κινητών πραγμάτων του Δήμου Αλιάρτου-Θεσπιέων(κάδοι απορριμμάτων, όργανα παιδικών χαρών, παλα</w:t>
      </w:r>
      <w:r w:rsidRPr="001729DD">
        <w:rPr>
          <w:rFonts w:cstheme="minorHAnsi"/>
          <w:iCs/>
        </w:rPr>
        <w:t xml:space="preserve">ιά αντικείμενα, </w:t>
      </w:r>
      <w:proofErr w:type="spellStart"/>
      <w:r w:rsidRPr="001729DD">
        <w:rPr>
          <w:rFonts w:cstheme="minorHAnsi"/>
          <w:iCs/>
        </w:rPr>
        <w:t>scrap</w:t>
      </w:r>
      <w:proofErr w:type="spellEnd"/>
      <w:r w:rsidRPr="001729DD">
        <w:rPr>
          <w:rFonts w:cstheme="minorHAnsi"/>
          <w:iCs/>
        </w:rPr>
        <w:t xml:space="preserve"> μετάλλου)</w:t>
      </w:r>
      <w:r w:rsidR="00BA5D7B" w:rsidRPr="001729DD">
        <w:rPr>
          <w:rFonts w:cstheme="minorHAnsi"/>
          <w:iCs/>
        </w:rPr>
        <w:t>(Εισηγητής ο Δήμ</w:t>
      </w:r>
      <w:r w:rsidR="00313569">
        <w:rPr>
          <w:rFonts w:cstheme="minorHAnsi"/>
          <w:iCs/>
        </w:rPr>
        <w:t>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5318D778" w14:textId="02106A07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6.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αποδοχής επιχορηγήσεων και ΚΑΠ από τον Δήμο Αλιάρτου Θεσ</w:t>
      </w:r>
      <w:r w:rsidR="00313569">
        <w:rPr>
          <w:rFonts w:cstheme="minorHAnsi"/>
          <w:iCs/>
        </w:rPr>
        <w:t>πιέων (</w:t>
      </w:r>
      <w:proofErr w:type="spellStart"/>
      <w:r w:rsidR="00313569">
        <w:rPr>
          <w:rFonts w:cstheme="minorHAnsi"/>
          <w:iCs/>
        </w:rPr>
        <w:t>Εισησγητής</w:t>
      </w:r>
      <w:proofErr w:type="spellEnd"/>
      <w:r w:rsidR="00313569">
        <w:rPr>
          <w:rFonts w:cstheme="minorHAnsi"/>
          <w:iCs/>
        </w:rPr>
        <w:t xml:space="preserve">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7B0EECE8" w14:textId="49A0CECC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7.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εξέτασης αιτήματος του Α.Ο. ΥΨΗΛΑΝΤΗ που αφορά την παραχώρηση της κεντρικής πλατείας Υψηλάντη  για την πραγματοποίηση Δημοτικής Βραδιάς στις 04/07/2026 με ζωντανή μ</w:t>
      </w:r>
      <w:r w:rsidR="00313569">
        <w:rPr>
          <w:rFonts w:cstheme="minorHAnsi"/>
          <w:iCs/>
        </w:rPr>
        <w:t>ουσική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06A38A14" w14:textId="25B1946D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8.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 xml:space="preserve">Περί της εξέτασης αιτήσεως του Πολιτιστικού – Χορευτικού Συλλόγου </w:t>
      </w:r>
      <w:proofErr w:type="spellStart"/>
      <w:r w:rsidR="00BA5D7B" w:rsidRPr="001729DD">
        <w:rPr>
          <w:rFonts w:cstheme="minorHAnsi"/>
          <w:iCs/>
        </w:rPr>
        <w:t>Λεονταρίου</w:t>
      </w:r>
      <w:proofErr w:type="spellEnd"/>
      <w:r w:rsidR="00BA5D7B" w:rsidRPr="001729DD">
        <w:rPr>
          <w:rFonts w:cstheme="minorHAnsi"/>
          <w:iCs/>
        </w:rPr>
        <w:t xml:space="preserve"> «Το </w:t>
      </w:r>
      <w:proofErr w:type="spellStart"/>
      <w:r w:rsidR="00BA5D7B" w:rsidRPr="001729DD">
        <w:rPr>
          <w:rFonts w:cstheme="minorHAnsi"/>
          <w:iCs/>
        </w:rPr>
        <w:t>Αρχοντίκι</w:t>
      </w:r>
      <w:proofErr w:type="spellEnd"/>
      <w:r w:rsidR="00BA5D7B" w:rsidRPr="001729DD">
        <w:rPr>
          <w:rFonts w:cstheme="minorHAnsi"/>
          <w:iCs/>
        </w:rPr>
        <w:t xml:space="preserve">» , που αφορά την παραχώρηση της Κεντρικής Πλατείας </w:t>
      </w:r>
      <w:proofErr w:type="spellStart"/>
      <w:r w:rsidR="00BA5D7B" w:rsidRPr="001729DD">
        <w:rPr>
          <w:rFonts w:cstheme="minorHAnsi"/>
          <w:iCs/>
        </w:rPr>
        <w:t>Λεονταρίου</w:t>
      </w:r>
      <w:proofErr w:type="spellEnd"/>
      <w:r w:rsidR="00BA5D7B" w:rsidRPr="001729DD">
        <w:rPr>
          <w:rFonts w:cstheme="minorHAnsi"/>
          <w:iCs/>
        </w:rPr>
        <w:t xml:space="preserve"> για την πραγματοποίηση εκδήλωσης στις 20/07</w:t>
      </w:r>
      <w:r w:rsidR="00313569">
        <w:rPr>
          <w:rFonts w:cstheme="minorHAnsi"/>
          <w:iCs/>
        </w:rPr>
        <w:t>/2026 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4AF4D63D" w14:textId="667FF716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9.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συγκρότησης 3μελούς επιτροπής για την διενέργεια διαγωνισμού εκμίσθωσης κυλικείου 2ου Δ.Σ Αλ</w:t>
      </w:r>
      <w:r w:rsidR="00313569">
        <w:rPr>
          <w:rFonts w:cstheme="minorHAnsi"/>
          <w:iCs/>
        </w:rPr>
        <w:t>ιάρτου.(Εισηγητής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2DCBCC1C" w14:textId="128FDABA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10.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του καθορισμού των όρων διενέργειας διαγωνισμού εκμίσθωσης κυλικείου 2ου Δ.Σ Αλι</w:t>
      </w:r>
      <w:r w:rsidR="00313569">
        <w:rPr>
          <w:rFonts w:cstheme="minorHAnsi"/>
          <w:iCs/>
        </w:rPr>
        <w:t>άρτου.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7E6221DD" w14:textId="783D3A95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11.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έγκρισης Πρωτοκόλλου Οριστικής Παραλαβής του έργου : «ΑΝΑΚΑΤΑΣΚΕΥΗ ΥΠΟΔΟΜΩΝ ΑΣΤΙΚΗΣ ΟΔΟΠ</w:t>
      </w:r>
      <w:r w:rsidR="00313569">
        <w:rPr>
          <w:rFonts w:cstheme="minorHAnsi"/>
          <w:iCs/>
        </w:rPr>
        <w:t>ΟΙΙΑΣ»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15BA175F" w14:textId="18B2EC63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12.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έγκρισης Πρωτοκόλλου Οριστικής Παραλαβής του έργου :« ΑΝΤΙΠΛΗΜΜΥΡΙΚΑ ΕΡΓΑ ΕΝΤΟΣ ΟΙΚΙΣΜΟΥ ΑΛΙ</w:t>
      </w:r>
      <w:r w:rsidR="00313569">
        <w:rPr>
          <w:rFonts w:cstheme="minorHAnsi"/>
          <w:iCs/>
        </w:rPr>
        <w:t>ΑΡΤΟΥ»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1F1F4332" w14:textId="1E64CC9C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13.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έγκρισης Πρωτοκόλλου Οριστικής Παραλαβής του έργου : «ΚΑΤΑΣΚΕΥΗ ΕΞΩΤΕΡΙΚΩΝ ΔΙΑΚΛΑΔΩΣΕΩΝ ΤΟΥ ΔΙΚΤΥΟΥ ΑΠΟΧΕΤΕΥΣΗΣ ΑΚΑΘΑΡΤΩΝ ΑΛΙ</w:t>
      </w:r>
      <w:r w:rsidR="00313569">
        <w:rPr>
          <w:rFonts w:cstheme="minorHAnsi"/>
          <w:iCs/>
        </w:rPr>
        <w:t>ΑΡΤΟΥ»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0D61AB09" w14:textId="4ECEC900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14.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έγκρισης Πρωτοκόλλου Οριστικής Παραλαβής του έργου : «ΚΑΤΑΣΚΕΥΗ ΕΞΩΤΕΡΙΚΩΝ ΔΙΑΚΛΑΔΩΣΕΩΝ ΤΟΥ ΔΙΚΤΥΟΥ ΑΠΟΧΕΤΕΥΣΗΣ ΑΚΑΘΑΡΤΩΝ ΟΙΚΙΣΜΩΝ ΜΑΥΡΟΜΜΑΤΙΟΥ ΚΑΙ ΛΕΟΝΤΑΡΙΟΥ – ΘΕΣ</w:t>
      </w:r>
      <w:r w:rsidR="00313569">
        <w:rPr>
          <w:rFonts w:cstheme="minorHAnsi"/>
          <w:iCs/>
        </w:rPr>
        <w:t>ΠΙΕΩΝ»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76EB31E3" w14:textId="5A753CC4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lastRenderedPageBreak/>
        <w:t>15.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έγκρισης Πρωτοκόλλου Οριστικής Παραλαβής του έργου : « ΔΙΑΜΟΡΦΩΣΗ ΑΥΛΕΙΩΝ ΧΩΡΩΝ ΣΧΟΛΙΚΩΝ ΜΟΝΑΔΩΝ ΔΗΜΟΥ ΑΛΙΑΡΤΟΥ – ΘΕΣ</w:t>
      </w:r>
      <w:r w:rsidR="00313569">
        <w:rPr>
          <w:rFonts w:cstheme="minorHAnsi"/>
          <w:iCs/>
        </w:rPr>
        <w:t>ΠΙΕΩΝ»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37E5C574" w14:textId="5B85D25B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16.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έγκρισης Πρωτοκόλλου Οριστικής Παραλαβής του έργου : «ΣΥΝΤΗΡΗΣΗ ΑΓΡΟΤΙΚΗΣ ΟΔΟΠΟΙΙΑΣ ΣΤΗ Δ.Ε. ΑΛΙΑΡΤΟΥ ΣΤΟ ΔΗΜΟ ΑΛΙΑΡΤΟΥ-ΘΕΣΠΙΕΩΝ ΓΙΑ ΤΑ ΕΤΗ 2017-2018 (Α</w:t>
      </w:r>
      <w:r w:rsidR="00313569">
        <w:rPr>
          <w:rFonts w:cstheme="minorHAnsi"/>
          <w:iCs/>
        </w:rPr>
        <w:t>’ ΦΑΣΗ)»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04D4D3E1" w14:textId="3C4EA951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17.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Περί της έγκρισης Πρωτοκόλλου Οριστικής Παραλαβής του έργου : «ΣΥΝΤΗΡΗΣΗ ΑΓΡΟΤΙΚΗΣ ΟΔΟΠΟΙΙΑΣ ΣΤΟΝ ΔΗΜΟ ΑΛΙΑΡΤΟΥ -ΘΕΣΠΙΕΩΝ (Β’ ΦΑΣΗ) του Δήμου Αλιάρτου-Θεσπ</w:t>
      </w:r>
      <w:r w:rsidR="00313569">
        <w:rPr>
          <w:rFonts w:cstheme="minorHAnsi"/>
          <w:iCs/>
        </w:rPr>
        <w:t>ιέων». (Εισηγητής ο Δήμαρχος κ.</w:t>
      </w:r>
      <w:r w:rsidR="00BA5D7B" w:rsidRPr="001729DD">
        <w:rPr>
          <w:rFonts w:cstheme="minorHAnsi"/>
          <w:iCs/>
        </w:rPr>
        <w:t xml:space="preserve"> </w:t>
      </w:r>
      <w:proofErr w:type="spellStart"/>
      <w:r w:rsidR="00BA5D7B" w:rsidRPr="001729DD">
        <w:rPr>
          <w:rFonts w:cstheme="minorHAnsi"/>
          <w:iCs/>
        </w:rPr>
        <w:t>Αραπίτσας</w:t>
      </w:r>
      <w:proofErr w:type="spellEnd"/>
      <w:r w:rsidR="00BA5D7B" w:rsidRPr="001729DD">
        <w:rPr>
          <w:rFonts w:cstheme="minorHAnsi"/>
          <w:iCs/>
        </w:rPr>
        <w:t xml:space="preserve"> Γεώργιος).</w:t>
      </w:r>
    </w:p>
    <w:p w14:paraId="73D0FEF4" w14:textId="60BE7B20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18.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 xml:space="preserve">Περί της έγκρισης της </w:t>
      </w:r>
      <w:proofErr w:type="spellStart"/>
      <w:r w:rsidR="00BA5D7B" w:rsidRPr="001729DD">
        <w:rPr>
          <w:rFonts w:cstheme="minorHAnsi"/>
          <w:iCs/>
        </w:rPr>
        <w:t>υπ</w:t>
      </w:r>
      <w:proofErr w:type="spellEnd"/>
      <w:r w:rsidR="00BA5D7B" w:rsidRPr="001729DD">
        <w:rPr>
          <w:rFonts w:cstheme="minorHAnsi"/>
          <w:iCs/>
        </w:rPr>
        <w:t>΄ αριθμ.106/25-05-2026 απόφασης Δημάρχου που αφορά την κίνηση οχήματος του Δήμου Αλιάρτου - Θεσπιέων εκτός διοικητικών ορίων</w:t>
      </w:r>
      <w:r w:rsidR="00313569">
        <w:rPr>
          <w:rFonts w:cstheme="minorHAnsi"/>
          <w:iCs/>
        </w:rPr>
        <w:t xml:space="preserve"> </w:t>
      </w:r>
      <w:r w:rsidR="006E7DEF">
        <w:rPr>
          <w:rFonts w:cstheme="minorHAnsi"/>
          <w:iCs/>
        </w:rPr>
        <w:t>Νομού Βοιωτίας.(Εισηγητής ο Γενικός Γραμματέας</w:t>
      </w:r>
      <w:r w:rsidR="00313569">
        <w:rPr>
          <w:rFonts w:cstheme="minorHAnsi"/>
          <w:iCs/>
        </w:rPr>
        <w:t xml:space="preserve"> </w:t>
      </w:r>
      <w:r w:rsidR="006E7DEF">
        <w:rPr>
          <w:rFonts w:cstheme="minorHAnsi"/>
          <w:iCs/>
        </w:rPr>
        <w:t>κ.</w:t>
      </w:r>
      <w:r w:rsidR="00BA5D7B" w:rsidRPr="001729DD">
        <w:rPr>
          <w:rFonts w:cstheme="minorHAnsi"/>
          <w:iCs/>
        </w:rPr>
        <w:t xml:space="preserve"> Δάρρας Σταμάτιος).</w:t>
      </w:r>
    </w:p>
    <w:p w14:paraId="33D1DAE4" w14:textId="70012A59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19.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 xml:space="preserve">Περί της έγκρισης της </w:t>
      </w:r>
      <w:proofErr w:type="spellStart"/>
      <w:r w:rsidR="00BA5D7B" w:rsidRPr="001729DD">
        <w:rPr>
          <w:rFonts w:cstheme="minorHAnsi"/>
          <w:iCs/>
        </w:rPr>
        <w:t>υπ</w:t>
      </w:r>
      <w:proofErr w:type="spellEnd"/>
      <w:r w:rsidR="00BA5D7B" w:rsidRPr="001729DD">
        <w:rPr>
          <w:rFonts w:cstheme="minorHAnsi"/>
          <w:iCs/>
        </w:rPr>
        <w:t>΄ αριθμ.112/26-05-2026 απόφασης Δημάρχου που αφορά την κίνηση οχήματος του Δήμου Αλιάρτου - Θεσπιέων εκτός διοικητικών ορίων</w:t>
      </w:r>
      <w:r w:rsidR="00313569">
        <w:rPr>
          <w:rFonts w:cstheme="minorHAnsi"/>
          <w:iCs/>
        </w:rPr>
        <w:t xml:space="preserve"> Νομού Βοιωτίας.(Εισηγητής ο </w:t>
      </w:r>
      <w:r w:rsidR="006E7DEF">
        <w:rPr>
          <w:rFonts w:cstheme="minorHAnsi"/>
          <w:iCs/>
        </w:rPr>
        <w:t>Γενικός Γραμματέας κ.</w:t>
      </w:r>
      <w:r w:rsidR="006E7DEF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Δάρρας Σταμάτιος).</w:t>
      </w:r>
    </w:p>
    <w:p w14:paraId="14C7273C" w14:textId="7C93F1D8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20.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 xml:space="preserve">Περί της έγκρισης της </w:t>
      </w:r>
      <w:proofErr w:type="spellStart"/>
      <w:r w:rsidR="00BA5D7B" w:rsidRPr="001729DD">
        <w:rPr>
          <w:rFonts w:cstheme="minorHAnsi"/>
          <w:iCs/>
        </w:rPr>
        <w:t>υπ</w:t>
      </w:r>
      <w:proofErr w:type="spellEnd"/>
      <w:r w:rsidR="00BA5D7B" w:rsidRPr="001729DD">
        <w:rPr>
          <w:rFonts w:cstheme="minorHAnsi"/>
          <w:iCs/>
        </w:rPr>
        <w:t>΄ αριθμ.129/11-06-2026 απόφασης Δημάρχου που αφορά την κίνηση οχήματος του Δήμου Αλιάρτου - Θεσπιέων εκτός διοικητικών ορίων</w:t>
      </w:r>
      <w:r w:rsidR="00313569">
        <w:rPr>
          <w:rFonts w:cstheme="minorHAnsi"/>
          <w:iCs/>
        </w:rPr>
        <w:t xml:space="preserve"> Νομού Βοιωτίας.(Εισηγητής ο </w:t>
      </w:r>
      <w:r w:rsidR="006E7DEF">
        <w:rPr>
          <w:rFonts w:cstheme="minorHAnsi"/>
          <w:iCs/>
        </w:rPr>
        <w:t>Γενικός Γραμματέας κ.</w:t>
      </w:r>
      <w:r w:rsidR="006E7DEF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Δάρρας Σταμάτιος).</w:t>
      </w:r>
    </w:p>
    <w:p w14:paraId="3738EA6F" w14:textId="57B53D42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21.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 xml:space="preserve">Περί  της έγκρισης της </w:t>
      </w:r>
      <w:proofErr w:type="spellStart"/>
      <w:r w:rsidR="00BA5D7B" w:rsidRPr="001729DD">
        <w:rPr>
          <w:rFonts w:cstheme="minorHAnsi"/>
          <w:iCs/>
        </w:rPr>
        <w:t>υπ</w:t>
      </w:r>
      <w:proofErr w:type="spellEnd"/>
      <w:r w:rsidR="00BA5D7B" w:rsidRPr="001729DD">
        <w:rPr>
          <w:rFonts w:cstheme="minorHAnsi"/>
          <w:iCs/>
        </w:rPr>
        <w:t xml:space="preserve">΄ αριθμ.130/11-06-2026 απόφασης Δημάρχου που αφορά την κίνηση οχήματος του Δήμου Αλιάρτου - Θεσπιέων εκτός διοικητικών ορίων Νομού Βοιωτίας (Εισηγητής </w:t>
      </w:r>
      <w:r w:rsidR="00313569">
        <w:rPr>
          <w:rFonts w:cstheme="minorHAnsi"/>
          <w:iCs/>
        </w:rPr>
        <w:t>ο</w:t>
      </w:r>
      <w:r w:rsidR="006E7DEF" w:rsidRPr="006E7DEF">
        <w:rPr>
          <w:rFonts w:cstheme="minorHAnsi"/>
          <w:iCs/>
        </w:rPr>
        <w:t xml:space="preserve"> </w:t>
      </w:r>
      <w:r w:rsidR="006E7DEF">
        <w:rPr>
          <w:rFonts w:cstheme="minorHAnsi"/>
          <w:iCs/>
        </w:rPr>
        <w:t>Γενικός Γραμματέας κ.</w:t>
      </w:r>
      <w:r w:rsidR="006E7DEF" w:rsidRPr="001729DD">
        <w:rPr>
          <w:rFonts w:cstheme="minorHAnsi"/>
          <w:iCs/>
        </w:rPr>
        <w:t xml:space="preserve"> </w:t>
      </w:r>
      <w:r w:rsidR="00313569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Δάρρας Σταμάτιος).</w:t>
      </w:r>
    </w:p>
    <w:p w14:paraId="1D8682A9" w14:textId="0500017E" w:rsidR="005B16AE" w:rsidRPr="001729DD" w:rsidRDefault="00BB5767" w:rsidP="001729DD">
      <w:pPr>
        <w:spacing w:line="360" w:lineRule="auto"/>
        <w:jc w:val="both"/>
        <w:rPr>
          <w:rFonts w:cstheme="minorHAnsi"/>
          <w:iCs/>
        </w:rPr>
      </w:pPr>
      <w:r w:rsidRPr="001729DD">
        <w:rPr>
          <w:rFonts w:cstheme="minorHAnsi"/>
          <w:iCs/>
        </w:rPr>
        <w:t>22.</w:t>
      </w:r>
      <w:r w:rsidR="00D77D0E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 xml:space="preserve">Περί της  έγκρισης της </w:t>
      </w:r>
      <w:proofErr w:type="spellStart"/>
      <w:r w:rsidR="00BA5D7B" w:rsidRPr="001729DD">
        <w:rPr>
          <w:rFonts w:cstheme="minorHAnsi"/>
          <w:iCs/>
        </w:rPr>
        <w:t>υπ</w:t>
      </w:r>
      <w:proofErr w:type="spellEnd"/>
      <w:r w:rsidR="00BA5D7B" w:rsidRPr="001729DD">
        <w:rPr>
          <w:rFonts w:cstheme="minorHAnsi"/>
          <w:iCs/>
        </w:rPr>
        <w:t>΄ αριθμ.132/15-06-2026 απόφασης Δημάρχου που αφορά την κίνηση οχήματος του Δήμου Αλιάρτου - Θεσπιέων εκτός διοικητικών ορίων</w:t>
      </w:r>
      <w:r w:rsidR="00313569">
        <w:rPr>
          <w:rFonts w:cstheme="minorHAnsi"/>
          <w:iCs/>
        </w:rPr>
        <w:t xml:space="preserve"> Νομού Βοιωτίας.(Εισηγητής ο </w:t>
      </w:r>
      <w:r w:rsidR="006E7DEF">
        <w:rPr>
          <w:rFonts w:cstheme="minorHAnsi"/>
          <w:iCs/>
        </w:rPr>
        <w:t>Γενικός Γραμματέας κ.</w:t>
      </w:r>
      <w:r w:rsidR="006E7DEF" w:rsidRPr="001729DD">
        <w:rPr>
          <w:rFonts w:cstheme="minorHAnsi"/>
          <w:iCs/>
        </w:rPr>
        <w:t xml:space="preserve"> </w:t>
      </w:r>
      <w:r w:rsidR="00BA5D7B" w:rsidRPr="001729DD">
        <w:rPr>
          <w:rFonts w:cstheme="minorHAnsi"/>
          <w:iCs/>
        </w:rPr>
        <w:t>Δάρρας Σταμάτιος).</w:t>
      </w:r>
    </w:p>
    <w:p w14:paraId="57587533" w14:textId="664BC485" w:rsidR="00E15CEB" w:rsidRPr="001729DD" w:rsidRDefault="00E15CEB" w:rsidP="001729DD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 w:rsidP="00D124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055CDB19" w14:textId="7676370A" w:rsidR="00A3725D" w:rsidRPr="00D12491" w:rsidRDefault="001A21F4" w:rsidP="00D12491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BB5767">
        <w:rPr>
          <w:lang w:val="el-GR"/>
        </w:rPr>
        <w:t xml:space="preserve">  </w:t>
      </w:r>
      <w:bookmarkStart w:id="2" w:name="_GoBack"/>
      <w:bookmarkEnd w:id="2"/>
    </w:p>
    <w:sectPr w:rsidR="00A3725D" w:rsidRPr="00D12491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D494F" w14:textId="77777777" w:rsidR="00446DF8" w:rsidRDefault="00446DF8">
      <w:pPr>
        <w:spacing w:line="240" w:lineRule="auto"/>
      </w:pPr>
      <w:r>
        <w:separator/>
      </w:r>
    </w:p>
  </w:endnote>
  <w:endnote w:type="continuationSeparator" w:id="0">
    <w:p w14:paraId="321B51D2" w14:textId="77777777" w:rsidR="00446DF8" w:rsidRDefault="0044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12491">
          <w:rPr>
            <w:noProof/>
          </w:rPr>
          <w:t>3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6F137" w14:textId="77777777" w:rsidR="00446DF8" w:rsidRDefault="00446DF8">
      <w:pPr>
        <w:spacing w:after="0"/>
      </w:pPr>
      <w:r>
        <w:separator/>
      </w:r>
    </w:p>
  </w:footnote>
  <w:footnote w:type="continuationSeparator" w:id="0">
    <w:p w14:paraId="7457AC12" w14:textId="77777777" w:rsidR="00446DF8" w:rsidRDefault="00446D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BD88508"/>
    <w:lvl w:ilvl="0" w:tplc="F87E882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0F2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729DD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03AC9"/>
    <w:rsid w:val="00313569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46DF8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96348"/>
    <w:rsid w:val="006A6827"/>
    <w:rsid w:val="006B4EDA"/>
    <w:rsid w:val="006C68EE"/>
    <w:rsid w:val="006D135A"/>
    <w:rsid w:val="006E053A"/>
    <w:rsid w:val="006E6865"/>
    <w:rsid w:val="006E7DEF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CC8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B576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12491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77D0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08B762B2-5320-4E87-92BA-5425232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5F3DA-6C9E-4680-A6DE-1EB8B015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Paraskevi pt. Tselikakh</cp:lastModifiedBy>
  <cp:revision>7</cp:revision>
  <dcterms:created xsi:type="dcterms:W3CDTF">2026-06-18T10:11:00Z</dcterms:created>
  <dcterms:modified xsi:type="dcterms:W3CDTF">2026-06-18T10:41:00Z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